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0" w:name="_GoBack"/>
      <w:r w:rsidRPr="00B51B7F">
        <w:rPr>
          <w:rFonts w:ascii="Times New Roman" w:eastAsia="Times New Roman" w:hAnsi="Times New Roman"/>
          <w:b/>
          <w:bCs/>
          <w:lang w:eastAsia="hu-HU"/>
        </w:rPr>
        <w:t>11/2004. (II. 13.) GKM rendelet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1" w:name="pr2"/>
      <w:bookmarkEnd w:id="1"/>
      <w:bookmarkEnd w:id="0"/>
      <w:proofErr w:type="gramStart"/>
      <w:r w:rsidRPr="00B51B7F">
        <w:rPr>
          <w:rFonts w:ascii="Times New Roman" w:eastAsia="Times New Roman" w:hAnsi="Times New Roman"/>
          <w:b/>
          <w:bCs/>
          <w:lang w:eastAsia="hu-HU"/>
        </w:rPr>
        <w:t>a</w:t>
      </w:r>
      <w:proofErr w:type="gramEnd"/>
      <w:r w:rsidRPr="00B51B7F">
        <w:rPr>
          <w:rFonts w:ascii="Times New Roman" w:eastAsia="Times New Roman" w:hAnsi="Times New Roman"/>
          <w:b/>
          <w:bCs/>
          <w:lang w:eastAsia="hu-HU"/>
        </w:rPr>
        <w:t xml:space="preserve"> gáz csatlakozó vezetékekre és fogyasztói berendezésekre vonatkozó műszaki-biztonsági előírásokról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2" w:name="pr3"/>
      <w:bookmarkEnd w:id="2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A földgázellátásról szóló 2003. évi XLII. törvény 56. § (2) bekezdés </w:t>
      </w:r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g)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pontjában kapott felhatalmazás alapján a következőket rendelem el: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3" w:name="pr4"/>
      <w:bookmarkEnd w:id="3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A rendelet hatálya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" w:name="1"/>
      <w:bookmarkStart w:id="5" w:name="pr5"/>
      <w:bookmarkEnd w:id="4"/>
      <w:bookmarkEnd w:id="5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1.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 A rendelet szabályozási körébe tartoznak a földgáz, valamint a cseppfolyós propán-butángázok és ezek elegyeinek (a továbbiakban együtt: éghető gázok) vezetéken történő szolgáltatásában alkalmazott csatlakozó vezetékek és fogyasztói berendezések, valamint ezek tulajdonosai, használói, illetve üzemeltetői.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" w:name="pr6"/>
      <w:bookmarkEnd w:id="6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(2) A csatlakozó vezetékek és fogyasztói berendezések tervezésére, létesítésre, üzemeltetésére és megszüntetésére a műszaki-biztonsági szabályzat (10. §) előírásai az irányadóak.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7" w:name="pr7"/>
      <w:bookmarkEnd w:id="7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Hatósági felügyelet alá helyezés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" w:name="2"/>
      <w:bookmarkStart w:id="9" w:name="pr8"/>
      <w:bookmarkEnd w:id="8"/>
      <w:bookmarkEnd w:id="9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2.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 Az éghető gázok csatlakozó vezetékei és fogyasztói berendezései, továbbá azok üzemeltetése műszaki-biztonsági hatósági felügyelet alá tartozik.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10" w:name="pr9"/>
      <w:bookmarkEnd w:id="10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(2)</w:t>
      </w:r>
      <w:hyperlink r:id="rId5" w:anchor="lbj1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Az (1) bekezdésben előírt hatósági felügyeletet első fokon a fővárosi és megyei kormányhivatal mérésügyi és műszaki biztonsági hatósága (a továbbiakban: hatóság), másodfokon a Magyar Kereskedelmi Engedélyezési Hivatal (a továbbiakban: Hivatal) látja el.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11" w:name="pr10"/>
      <w:bookmarkEnd w:id="11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Értelmező rendelkezések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12" w:name="3"/>
      <w:bookmarkStart w:id="13" w:name="pr11"/>
      <w:bookmarkEnd w:id="12"/>
      <w:bookmarkEnd w:id="13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3.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E rendelet alkalmazásában: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14" w:name="pr12"/>
      <w:bookmarkEnd w:id="14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a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rendeltetésszerű használat: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csatlakozó vezeték, a fogyasztói berendezés és ez utóbbi elemeinek műszaki leírásában, kezelési útmutatójában vagy termékismertetőjében feltüntetett minőségű gázzal és a megadott nyomástartományban történő, a tervezett célnak és az előírt üzemeltetési módnak megfelelő használat;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15" w:name="pr13"/>
      <w:bookmarkEnd w:id="15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b) fogyasztó: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nyilvántartásba vett feljogosított fogyasztó és a közüzemi fogyasztó;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16" w:name="pr14"/>
      <w:bookmarkEnd w:id="16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c) üzemeltetés: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a csatlakozó vezetékkel és fogyasztói berendezéssel kapcsolatos minden tevékenység, így a létesítés, az üzembe helyezés, a normál üzem, a leállítás, a karbantartás, az átalakítás, az </w:t>
      </w:r>
      <w:proofErr w:type="spellStart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üzemzavarelhárítás</w:t>
      </w:r>
      <w:proofErr w:type="spellEnd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, a fogyasztó szolgáltatói és hatósági ellenőrzése, valamint a megszüntetés.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17" w:name="pr15"/>
      <w:bookmarkEnd w:id="17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Tervezés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18" w:name="4"/>
      <w:bookmarkStart w:id="19" w:name="pr16"/>
      <w:bookmarkEnd w:id="18"/>
      <w:bookmarkEnd w:id="19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4.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Csatlakozó vezetéket és fogyasztói vezetéket csak az tervezhet, akinek a külön jogszabály</w:t>
      </w:r>
      <w:hyperlink r:id="rId6" w:anchor="lbj2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2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alapján szakirányú tervezési jogosultsága van, és aki a Magyar Mérnöki Kamara hivatalos tervezői névjegyzékében szerepel.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20" w:name="pr17"/>
      <w:bookmarkEnd w:id="20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Kivitelezés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21" w:name="5"/>
      <w:bookmarkStart w:id="22" w:name="pr18"/>
      <w:bookmarkEnd w:id="21"/>
      <w:bookmarkEnd w:id="22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5.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 Csatlakozó vezetéket és fogyasztói berendezést az létesíthet, szerelhet, javíthat vagy végezheti karbantartásukat, aki a külön jogszabály</w:t>
      </w:r>
      <w:hyperlink r:id="rId7" w:anchor="lbj3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3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követelményeinek megfelel és a gázszerelői nyilvántartásban szerepel.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23" w:name="pr19"/>
      <w:bookmarkEnd w:id="23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(2) A külön jogszabályban</w:t>
      </w:r>
      <w:hyperlink r:id="rId8" w:anchor="lbj4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4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meghatározott </w:t>
      </w:r>
      <w:proofErr w:type="spellStart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gázfogyasztókészülék</w:t>
      </w:r>
      <w:proofErr w:type="spellEnd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és tartozékainak szerelését, javítását, karbantartását a készülék gyártója, vagy annak megbízottja a (1) bekezdés szerinti feltétel teljesítése nélkül is végezheti.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24" w:name="6"/>
      <w:bookmarkStart w:id="25" w:name="pr20"/>
      <w:bookmarkEnd w:id="24"/>
      <w:bookmarkEnd w:id="25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6.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 Az elosztói engedélyes a csatlakozó vezeték és fogyasztói berendezés kiviteli terveinek felülvizsgálatáért, valamint a gázszerelés üzembe helyezés előtti ellenőrzéséért az 50 m</w:t>
      </w:r>
      <w:r w:rsidRPr="00B51B7F">
        <w:rPr>
          <w:rFonts w:ascii="Times New Roman" w:eastAsia="Times New Roman" w:hAnsi="Times New Roman"/>
          <w:position w:val="10"/>
          <w:sz w:val="20"/>
          <w:szCs w:val="20"/>
          <w:lang w:eastAsia="hu-HU"/>
        </w:rPr>
        <w:t>3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/óra, vagy ennél nagyobb teljesítmény esetén külön díjat számíthat fel.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26" w:name="pr21"/>
      <w:bookmarkEnd w:id="26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lastRenderedPageBreak/>
        <w:t>(2) A csatlakozóvezeték és fogyasztói berendezés (1) bekezdés szerinti terveinek a külön jogszabályokban előírt felülvizsgálati munkaidő ráfordítása: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1905"/>
      </w:tblGrid>
      <w:tr w:rsidR="00B51B7F" w:rsidRPr="00B51B7F" w:rsidTr="00B51B7F">
        <w:trPr>
          <w:tblCellSpacing w:w="0" w:type="dxa"/>
        </w:trPr>
        <w:tc>
          <w:tcPr>
            <w:tcW w:w="5520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bookmarkStart w:id="27" w:name="pr22"/>
            <w:bookmarkEnd w:id="27"/>
            <w:r w:rsidRPr="00B51B7F"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a) 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50-200 m</w:t>
            </w:r>
            <w:r w:rsidRPr="00B51B7F">
              <w:rPr>
                <w:rFonts w:ascii="Times New Roman" w:eastAsia="Times New Roman" w:hAnsi="Times New Roman"/>
                <w:position w:val="10"/>
                <w:lang w:eastAsia="hu-HU"/>
              </w:rPr>
              <w:t>3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/óra teljesítmény igény esetén</w:t>
            </w:r>
          </w:p>
        </w:tc>
        <w:tc>
          <w:tcPr>
            <w:tcW w:w="1905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r w:rsidRPr="00B51B7F">
              <w:rPr>
                <w:rFonts w:ascii="Times New Roman" w:eastAsia="Times New Roman" w:hAnsi="Times New Roman"/>
                <w:lang w:eastAsia="hu-HU"/>
              </w:rPr>
              <w:t>1 napidíj,</w:t>
            </w:r>
          </w:p>
        </w:tc>
      </w:tr>
    </w:tbl>
    <w:p w:rsidR="00B51B7F" w:rsidRPr="00B51B7F" w:rsidRDefault="00B51B7F" w:rsidP="00B51B7F">
      <w:pPr>
        <w:rPr>
          <w:rFonts w:ascii="Times New Roman" w:eastAsia="Times New Roman" w:hAnsi="Times New Roman"/>
          <w:vanish/>
          <w:lang w:eastAsia="hu-HU"/>
        </w:rPr>
      </w:pPr>
      <w:bookmarkStart w:id="28" w:name="pr23"/>
      <w:bookmarkEnd w:id="28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1905"/>
      </w:tblGrid>
      <w:tr w:rsidR="00B51B7F" w:rsidRPr="00B51B7F" w:rsidTr="00B51B7F">
        <w:trPr>
          <w:tblCellSpacing w:w="0" w:type="dxa"/>
        </w:trPr>
        <w:tc>
          <w:tcPr>
            <w:tcW w:w="5520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r w:rsidRPr="00B51B7F"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b) 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200-1000 m</w:t>
            </w:r>
            <w:r w:rsidRPr="00B51B7F">
              <w:rPr>
                <w:rFonts w:ascii="Times New Roman" w:eastAsia="Times New Roman" w:hAnsi="Times New Roman"/>
                <w:position w:val="10"/>
                <w:lang w:eastAsia="hu-HU"/>
              </w:rPr>
              <w:t>3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/óra teljesítmény igény esetén</w:t>
            </w:r>
          </w:p>
        </w:tc>
        <w:tc>
          <w:tcPr>
            <w:tcW w:w="1905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r w:rsidRPr="00B51B7F">
              <w:rPr>
                <w:rFonts w:ascii="Times New Roman" w:eastAsia="Times New Roman" w:hAnsi="Times New Roman"/>
                <w:lang w:eastAsia="hu-HU"/>
              </w:rPr>
              <w:t>2 napidíj,</w:t>
            </w:r>
          </w:p>
        </w:tc>
      </w:tr>
    </w:tbl>
    <w:p w:rsidR="00B51B7F" w:rsidRPr="00B51B7F" w:rsidRDefault="00B51B7F" w:rsidP="00B51B7F">
      <w:pPr>
        <w:rPr>
          <w:rFonts w:ascii="Times New Roman" w:eastAsia="Times New Roman" w:hAnsi="Times New Roman"/>
          <w:vanish/>
          <w:lang w:eastAsia="hu-HU"/>
        </w:rPr>
      </w:pPr>
      <w:bookmarkStart w:id="29" w:name="pr24"/>
      <w:bookmarkEnd w:id="2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1905"/>
      </w:tblGrid>
      <w:tr w:rsidR="00B51B7F" w:rsidRPr="00B51B7F" w:rsidTr="00B51B7F">
        <w:trPr>
          <w:tblCellSpacing w:w="0" w:type="dxa"/>
        </w:trPr>
        <w:tc>
          <w:tcPr>
            <w:tcW w:w="5520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r w:rsidRPr="00B51B7F"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c) 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1000-3000 m</w:t>
            </w:r>
            <w:r w:rsidRPr="00B51B7F">
              <w:rPr>
                <w:rFonts w:ascii="Times New Roman" w:eastAsia="Times New Roman" w:hAnsi="Times New Roman"/>
                <w:position w:val="10"/>
                <w:lang w:eastAsia="hu-HU"/>
              </w:rPr>
              <w:t>3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/óra teljesítmény igény esetén</w:t>
            </w:r>
          </w:p>
        </w:tc>
        <w:tc>
          <w:tcPr>
            <w:tcW w:w="1905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r w:rsidRPr="00B51B7F">
              <w:rPr>
                <w:rFonts w:ascii="Times New Roman" w:eastAsia="Times New Roman" w:hAnsi="Times New Roman"/>
                <w:lang w:eastAsia="hu-HU"/>
              </w:rPr>
              <w:t>3 napidíj,</w:t>
            </w:r>
          </w:p>
        </w:tc>
      </w:tr>
    </w:tbl>
    <w:p w:rsidR="00B51B7F" w:rsidRPr="00B51B7F" w:rsidRDefault="00B51B7F" w:rsidP="00B51B7F">
      <w:pPr>
        <w:rPr>
          <w:rFonts w:ascii="Times New Roman" w:eastAsia="Times New Roman" w:hAnsi="Times New Roman"/>
          <w:vanish/>
          <w:lang w:eastAsia="hu-HU"/>
        </w:rPr>
      </w:pPr>
      <w:bookmarkStart w:id="30" w:name="pr25"/>
      <w:bookmarkEnd w:id="3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1905"/>
      </w:tblGrid>
      <w:tr w:rsidR="00B51B7F" w:rsidRPr="00B51B7F" w:rsidTr="00B51B7F">
        <w:trPr>
          <w:tblCellSpacing w:w="0" w:type="dxa"/>
        </w:trPr>
        <w:tc>
          <w:tcPr>
            <w:tcW w:w="5520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r w:rsidRPr="00B51B7F"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d) 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3000 m</w:t>
            </w:r>
            <w:r w:rsidRPr="00B51B7F">
              <w:rPr>
                <w:rFonts w:ascii="Times New Roman" w:eastAsia="Times New Roman" w:hAnsi="Times New Roman"/>
                <w:position w:val="10"/>
                <w:lang w:eastAsia="hu-HU"/>
              </w:rPr>
              <w:t>3</w:t>
            </w:r>
            <w:r w:rsidRPr="00B51B7F">
              <w:rPr>
                <w:rFonts w:ascii="Times New Roman" w:eastAsia="Times New Roman" w:hAnsi="Times New Roman"/>
                <w:lang w:eastAsia="hu-HU"/>
              </w:rPr>
              <w:t>/óra feletti teljesítmény igény esetén</w:t>
            </w:r>
          </w:p>
        </w:tc>
        <w:tc>
          <w:tcPr>
            <w:tcW w:w="1905" w:type="dxa"/>
            <w:vAlign w:val="center"/>
            <w:hideMark/>
          </w:tcPr>
          <w:p w:rsidR="00B51B7F" w:rsidRPr="00B51B7F" w:rsidRDefault="00B51B7F" w:rsidP="00B51B7F">
            <w:pPr>
              <w:rPr>
                <w:rFonts w:ascii="Times New Roman" w:eastAsia="Times New Roman" w:hAnsi="Times New Roman"/>
                <w:lang w:eastAsia="hu-HU"/>
              </w:rPr>
            </w:pPr>
            <w:r w:rsidRPr="00B51B7F">
              <w:rPr>
                <w:rFonts w:ascii="Times New Roman" w:eastAsia="Times New Roman" w:hAnsi="Times New Roman"/>
                <w:lang w:eastAsia="hu-HU"/>
              </w:rPr>
              <w:t xml:space="preserve">4,5 napidíj. </w:t>
            </w:r>
          </w:p>
        </w:tc>
      </w:tr>
    </w:tbl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31" w:name="pr26"/>
      <w:bookmarkEnd w:id="31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kivitelezést követően a bekapcsolás előtti műszaki-biztonsági ellenőrzéséért a területileg illetékes elosztói engedélyesnek 1 napidíj, illetőleg óránkénti átalánydíjat kell megállapítania.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32" w:name="pr27"/>
      <w:bookmarkEnd w:id="32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napidíj, illetőleg óránkénti átalánydíj meghatározásánál a külön jogszabályban</w:t>
      </w:r>
      <w:hyperlink r:id="rId9" w:anchor="lbj5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5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meghatározott naponta, illetőleg órára meghatározott átalánydíj összeggel kell számolni.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33" w:name="pr28"/>
      <w:bookmarkEnd w:id="33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(3) A hiánypótlásra visszaadott kiviteli terv módosításának, kiegészítésének ismételt felülvizsgálati díja a napidíj 50%-</w:t>
      </w:r>
      <w:proofErr w:type="gramStart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a.</w:t>
      </w:r>
      <w:proofErr w:type="gramEnd"/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34" w:name="pr29"/>
      <w:bookmarkEnd w:id="34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(4) Az ügyfél hibájából meghiúsult helyszíni biztonsági-ellenőrzési eljárás esetén a díj a napidíj 70%-</w:t>
      </w:r>
      <w:proofErr w:type="gramStart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a.</w:t>
      </w:r>
      <w:proofErr w:type="gramEnd"/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35" w:name="pr30"/>
      <w:bookmarkEnd w:id="35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(5) A területileg illetékes elosztói engedélyes a 2. § (1) bekezdésében meghatározott díjon felül 25% áfát számít fel.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36" w:name="pr31"/>
      <w:bookmarkEnd w:id="36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Üzemeltetés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37" w:name="7"/>
      <w:bookmarkStart w:id="38" w:name="pr32"/>
      <w:bookmarkEnd w:id="37"/>
      <w:bookmarkEnd w:id="38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7.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 A tulajdonos, a használó, illetve az üzemeltető (a továbbiakban együtt: üzemeltető) köteles a csatlakozó vezetéket és a fogyasztói berendezést rendeltetésszerű állapotban tartani, rendeltetésszerűen üzemeltetni, a szükséges ellenőrzéseket és karbantartását a gyártói előírások alapján rendszeresen elvégeztetni, minden vonatkozó biztonsági előírást betartatni, valamint a hatósági, illetve elosztói engedélyes ellenőrzése során az ellenőrzés feltételeit biztosítani. Erről a kötelezettségről az elosztói engedélyes a fogyasztót tájékoztatni köteles.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39" w:name="pr33"/>
      <w:bookmarkEnd w:id="39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(2) A karbantartást és a kapcsolódó ellenőrzést bizonylatolt (jegyzőkönyvezett) formában kell végezni. A karbantartás, javítás, időszakos felülvizsgálatok szakmai és személyi feltételeire a gyártó előírásai az irányadóak.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0" w:name="pr34"/>
      <w:bookmarkEnd w:id="40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(3) A külön jogszabály</w:t>
      </w:r>
      <w:hyperlink r:id="rId10" w:anchor="lbj6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6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szerint hatósági felügyelet alá tartozó gázkészülékekkel kapcsolatos tevékenységet végzőknek a biztonságos üzemeltetést lehetővé tevő létszámát, képzettségét, továbbá a kezelőkre vonatkozó külön jogszabályban</w:t>
      </w:r>
      <w:hyperlink r:id="rId11" w:anchor="lbj7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7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meghatározott egyéb feltételeket az üzemeltetőnek kell meghatároznia és biztosítania.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1" w:name="pr35"/>
      <w:bookmarkEnd w:id="41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(4) A (3) bekezdésben említett gázkészülék üzemeltetőnek a gyártó előírásainak figyelembevételével üzemeltetési utasítást kell készítenie, amely tartalmazza a gázfogyasztó készülék indítására, normál üzemmódjára, leállítására, vészleállítására és az esetleg bekövetkező rendkívüli események esetén szükséges teendőket. A gázkészüléket az üzemeltetési utasítás előírásai szerint kell üzemeltetni.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2" w:name="pr36"/>
      <w:bookmarkEnd w:id="42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(5) Ha az üzemeltető az (1) bekezdésben foglalt tevékenysége során rendellenességet észlel, köteles minden szükséges intézkedést - beleértve a csatlakozó vezeték vagy fogyasztói berendezés részleges vagy teljes üzemen kívül helyezését is - megtenni.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3" w:name="pr37"/>
      <w:bookmarkEnd w:id="43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(6)</w:t>
      </w:r>
      <w:hyperlink r:id="rId12" w:anchor="lbj8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8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A csatlakozóvezetékekre és a fogyasztói berendezésre vonatkozó, a földgázellátásról szóló 2003. évi XLII. törvény 22. §</w:t>
      </w:r>
      <w:proofErr w:type="spellStart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-ának</w:t>
      </w:r>
      <w:proofErr w:type="spellEnd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(7) bekezdése szerinti műszaki biztonsági felülvizsgálatot - ellenkező bizonyításig - elvégzettnek kell tekinteni.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44" w:name="pr38"/>
      <w:bookmarkEnd w:id="44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Eljárás rendkívüli esemény alkalmával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5" w:name="8"/>
      <w:bookmarkStart w:id="46" w:name="pr39"/>
      <w:bookmarkEnd w:id="45"/>
      <w:bookmarkEnd w:id="46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8.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</w:t>
      </w:r>
      <w:hyperlink r:id="rId13" w:anchor="lbj9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9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A csatlakozó vezetékkel vagy a fogyasztói berendezéssel kapcsolatos rendkívüli eseményeket háztartási és kommunális fogyasztó esetében a szolgáltatói engedélyes, feljogosított fogyasztó esetében a fogyasztó köteles a hatóságnak haladéktalanul bejelenteni, majd a bejelentést 24 órán belül írásban megerősíteni.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7" w:name="pr40"/>
      <w:bookmarkEnd w:id="47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(2) A rendkívüli esemény helyszíne a vizsgálat befejezéséig nem változtatható meg, kivéve, ha a további károk, balesetek megelőzése vagy más ok ezt indokolttá és szükségessé teszi; ebben az esetben a helyszínt fénykép-, videofelvétellel, vázlat készítésével rögzíteni kell.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8" w:name="pr41"/>
      <w:bookmarkEnd w:id="48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(3) A hatóság a bejelentést követően köteles a vizsgálatot haladéktalanul megkezdeni. A hatóság, illetve az általa bevont független szakértők a helyszínen megvizsgálják a rendkívüli esemény okait, valószínű lefolyását és következményeit. Ezzel kapcsolatban a hatóság jogosult minden adatot, információt megszerezni, így különösen: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49" w:name="pr42"/>
      <w:bookmarkEnd w:id="49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a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fényképeket, vázlatokat, leírásokat készíteni,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0" w:name="pr43"/>
      <w:bookmarkEnd w:id="50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lastRenderedPageBreak/>
        <w:t xml:space="preserve">b)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rendelkezésre álló adatokból megállapítani (rekonstruálni) a megelőző üzemi viszonyokat,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1" w:name="pr44"/>
      <w:bookmarkEnd w:id="51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c)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megvizsgálni a sérült vezetéket, berendezést, ezek tartozékait, környezetét,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2" w:name="pr45"/>
      <w:bookmarkEnd w:id="52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d)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meghallgatni a rendkívüli esemény szemtanúit, az illetékes személyeket, a kezelőket, és erről jegyzőkönyvet felvenni,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3" w:name="pr46"/>
      <w:bookmarkEnd w:id="53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e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tanulmányozni a szükséges okmányokat, üzemi naplókat,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4" w:name="pr47"/>
      <w:bookmarkEnd w:id="54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f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elrendelni az alkatrészek, tartozékok, laboratóriumi, műszeres és más vizsgálatait,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5" w:name="pr48"/>
      <w:bookmarkEnd w:id="55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g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elemezni, értékelni a belső üzemi kivizsgálás adatait.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6" w:name="pr49"/>
      <w:bookmarkEnd w:id="56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(4) A hatóság köteles a berendezések, tartozékok, okmányok megőrzéséről és szükség szerinti vizsgálatáról gondoskodni.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7" w:name="pr50"/>
      <w:bookmarkEnd w:id="57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(5) Ha a hatóság a vizsgálat során azt állapítja meg, hogy a gyártással vagy üzemeltetéssel kapcsolatban mulasztás történt, vagy a rendkívüli esemény bekövetkezése vétkes magatartás következménye, köteles a szükséges felelősségre vonási eljárás megindítását kezdeményezni.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8" w:name="pr51"/>
      <w:bookmarkEnd w:id="58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(6) A hatóságnak a vizsgálat eredményéről részletes jegyzőkönyvet kell készítenie, amelyet a fogyasztónak is alá kell írnia. A jegyzőkönyvben rögzíteni kell: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59" w:name="pr52"/>
      <w:bookmarkEnd w:id="59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a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proofErr w:type="spellStart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</w:t>
      </w:r>
      <w:proofErr w:type="spellEnd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rendkívüli esemény valószínűsíthető lefolyását és az azt kiváltó okokat,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0" w:name="pr53"/>
      <w:bookmarkEnd w:id="60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b)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megállapított rendellenességeket,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1" w:name="pr54"/>
      <w:bookmarkEnd w:id="61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c)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az esemény megismétlődését kizáró intézkedéseket.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2" w:name="pr55"/>
      <w:bookmarkEnd w:id="62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(7) A létesítmény ismételt üzembe helyezése csak a hibák, az eseményt előidéző okok megszüntetése és a létesítmény ismételt felülvizsgálata után történhet.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63" w:name="pr56"/>
      <w:bookmarkEnd w:id="63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Hatósági feladatok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4" w:name="9"/>
      <w:bookmarkStart w:id="65" w:name="pr57"/>
      <w:bookmarkEnd w:id="64"/>
      <w:bookmarkEnd w:id="65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9.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 A hatóság a műszaki-biztonsági felügyelete keretében: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6" w:name="pr58"/>
      <w:bookmarkEnd w:id="66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a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ellenőrzi az elosztói engedélyes műszaki-biztonsági tevékenységét a rendelet szabályozási körébe tartozó területen;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7" w:name="pr59"/>
      <w:bookmarkEnd w:id="67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b)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helyszínen ellenőrzi a létesítésre és a külön jogszabályban</w:t>
      </w:r>
      <w:hyperlink r:id="rId14" w:anchor="lbj10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10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meghatározott gázkészülékek üzemeltetésére vonatkozó műszaki-biztonsági előírások betartását;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8" w:name="pr60"/>
      <w:bookmarkEnd w:id="68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c)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kivizsgálja a külön jogszabályban</w:t>
      </w:r>
      <w:hyperlink r:id="rId15" w:anchor="lbj11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11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meghatározott rendkívüli események bekövetkezésének körülményeit és a hasonló esetek megelőzésére intézkedik.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69" w:name="pr61"/>
      <w:bookmarkEnd w:id="69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(2) A hatóság az (1) bekezdés </w:t>
      </w:r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a)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pontja szerinti ellenőrzést évente köteles elvégezni.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0" w:name="pr62"/>
      <w:bookmarkEnd w:id="70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(3) A hatóság a háztartási és a kommunális fogyasztó csatlakozó vezetékét és a fogyasztói berendezés létesítését és használatát az elosztói engedélyes bevonásával ellenőrizheti.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1" w:name="pr63"/>
      <w:bookmarkEnd w:id="71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(4) A hatóság az ellenőrzésről és annak megállapításairól jegyzőkönyvet köteles készíteni.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2" w:name="pr64"/>
      <w:bookmarkEnd w:id="72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(5) Ha az ellenőrzés során a hatóság megállapítja, hogy az e rendeletben és külön jogszabályokban</w:t>
      </w:r>
      <w:hyperlink r:id="rId16" w:anchor="lbj12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12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meghatározott feltételek nem teljesülnek, vagy az üzemeltető e rendelet 7. § szerinti kötelezettségeit nem teljesíti, elrendelheti a hiba kijavítását, a hiányosság megszüntetését, illetve megtilthatja a csatlakozó vezeték és a fogyasztói berendezés vagy ez utóbbi egyes tartozékainak használatát.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3" w:name="pr65"/>
      <w:bookmarkEnd w:id="73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(6) A hiba, hiányosság előírt határidőre történő kijavításáról, a javítás módjáról az üzemeltető köteles tájékoztatni a hatóságot.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74" w:name="pr66"/>
      <w:bookmarkEnd w:id="74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Műszaki-biztonsági szabályzat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5" w:name="10"/>
      <w:bookmarkStart w:id="76" w:name="pr67"/>
      <w:bookmarkEnd w:id="75"/>
      <w:bookmarkEnd w:id="76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10.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(1)</w:t>
      </w:r>
      <w:hyperlink r:id="rId17" w:anchor="lbj13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13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A csatlakozó vezetékek és fogyasztói berendezések műszaki-biztonsági szabályzatait (a továbbiakban: Szabályzat) a Hivatal főigazgatója készíti elő és a szakmai egyeztetését követően javaslatot tesz annak kihirdetésére.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7" w:name="pr68"/>
      <w:bookmarkEnd w:id="77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(2) A szakmai egyeztetésre Gázipari Műszaki Szakbizottságot kell létrehozni, amely a közzétételt követően a Szabályzatot évente felülvizsgálja, és javaslatot tesz annak szükség szerinti módosítására.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8" w:name="pr69"/>
      <w:bookmarkEnd w:id="78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(3)</w:t>
      </w:r>
      <w:hyperlink r:id="rId18" w:anchor="lbj14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14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A (2) bekezdés szerinti Szakbizottság a következő szervezetek által delegált - az iparügyekért felelős miniszter által 3 évre megbízott - 1-1 szakemberből áll: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79" w:name="pr70"/>
      <w:bookmarkEnd w:id="79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a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)</w:t>
      </w:r>
      <w:hyperlink r:id="rId19" w:anchor="lbj15param" w:history="1">
        <w:r w:rsidRPr="00B51B7F">
          <w:rPr>
            <w:rFonts w:ascii="Times New Roman" w:eastAsia="Times New Roman" w:hAnsi="Times New Roman"/>
            <w:i/>
            <w:iCs/>
            <w:color w:val="0000FF"/>
            <w:sz w:val="20"/>
            <w:szCs w:val="20"/>
            <w:u w:val="single"/>
            <w:vertAlign w:val="superscript"/>
            <w:lang w:eastAsia="hu-HU"/>
          </w:rPr>
          <w:t>15</w:t>
        </w:r>
      </w:hyperlink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Magyar Gázipari Egyesülés,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0" w:name="pr71"/>
      <w:bookmarkEnd w:id="80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b)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Magyar Épületgépészek Szövetsége,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1" w:name="pr72"/>
      <w:bookmarkEnd w:id="81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c)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Magyar Épületgépészeti Koordinációs Szövetség,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2" w:name="pr73"/>
      <w:bookmarkEnd w:id="82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d)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Magyar Gázipari Vállalkozók Egyesülete,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3" w:name="pr74"/>
      <w:bookmarkEnd w:id="83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e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Magyar Mérnöki Kamara, Gáz- és Olajipari Tagozat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4" w:name="pr75"/>
      <w:bookmarkEnd w:id="84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f)</w:t>
      </w:r>
      <w:hyperlink r:id="rId20" w:anchor="lbj16param" w:history="1">
        <w:r w:rsidRPr="00B51B7F">
          <w:rPr>
            <w:rFonts w:ascii="Times New Roman" w:eastAsia="Times New Roman" w:hAnsi="Times New Roman"/>
            <w:i/>
            <w:iCs/>
            <w:color w:val="0000FF"/>
            <w:sz w:val="20"/>
            <w:szCs w:val="20"/>
            <w:u w:val="single"/>
            <w:vertAlign w:val="superscript"/>
            <w:lang w:eastAsia="hu-HU"/>
          </w:rPr>
          <w:t>16</w:t>
        </w:r>
      </w:hyperlink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Hivatal és </w:t>
      </w:r>
      <w:proofErr w:type="gramStart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</w:t>
      </w:r>
      <w:proofErr w:type="gramEnd"/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5" w:name="pr76"/>
      <w:bookmarkEnd w:id="85"/>
      <w:proofErr w:type="gramStart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>g</w:t>
      </w:r>
      <w:proofErr w:type="gramEnd"/>
      <w:r w:rsidRPr="00B51B7F">
        <w:rPr>
          <w:rFonts w:ascii="Times New Roman" w:eastAsia="Times New Roman" w:hAnsi="Times New Roman"/>
          <w:i/>
          <w:iCs/>
          <w:sz w:val="20"/>
          <w:szCs w:val="20"/>
          <w:lang w:eastAsia="hu-HU"/>
        </w:rPr>
        <w:t xml:space="preserve">)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Magyar PB Gázipari Egyesület.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6" w:name="pr77"/>
      <w:bookmarkEnd w:id="86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(4) A Szakbizottság ülésein a Gazdasági és Közlekedési Minisztérium és a Magyar Energia Hivatal képviselője tanácskozási joggal vehet részt.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7" w:name="pr78"/>
      <w:bookmarkEnd w:id="87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lastRenderedPageBreak/>
        <w:t>(5)</w:t>
      </w:r>
      <w:hyperlink r:id="rId21" w:anchor="lbj17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17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A Szakbizottság maga dolgozza ki működési szabályzatát és tagjai közül háromévente elnököt választ. A titkársági feladatok ellátásáról a Hivatal főigazgatója gondoskodik.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8" w:name="pr79"/>
      <w:bookmarkEnd w:id="88"/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(6) A Szabályzatban foglalt egyes műszaki előírásoktól az üzemeltető eltérhet, ha előzetesen igazolja, hogy a Szabályzat előírásai szerint elérhető műszaki biztonsági szintet más módon biztosítani tudja.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89" w:name="11"/>
      <w:bookmarkStart w:id="90" w:name="pr80"/>
      <w:bookmarkEnd w:id="89"/>
      <w:bookmarkEnd w:id="90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11.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A hatósági eljárás díját külön jogszabály</w:t>
      </w:r>
      <w:hyperlink r:id="rId22" w:anchor="lbj18param" w:history="1">
        <w:r w:rsidRPr="00B51B7F">
          <w:rPr>
            <w:rFonts w:ascii="Times New Roman" w:eastAsia="Times New Roman" w:hAnsi="Times New Roman"/>
            <w:color w:val="0000FF"/>
            <w:sz w:val="20"/>
            <w:szCs w:val="20"/>
            <w:u w:val="single"/>
            <w:vertAlign w:val="superscript"/>
            <w:lang w:eastAsia="hu-HU"/>
          </w:rPr>
          <w:t>18</w:t>
        </w:r>
      </w:hyperlink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 xml:space="preserve"> tartalmazza.</w:t>
      </w:r>
    </w:p>
    <w:p w:rsidR="00B51B7F" w:rsidRPr="00B51B7F" w:rsidRDefault="00B51B7F" w:rsidP="00B51B7F">
      <w:pPr>
        <w:spacing w:before="300" w:after="300"/>
        <w:ind w:left="150" w:right="150"/>
        <w:jc w:val="center"/>
        <w:rPr>
          <w:rFonts w:ascii="Times New Roman" w:eastAsia="Times New Roman" w:hAnsi="Times New Roman"/>
          <w:lang w:eastAsia="hu-HU"/>
        </w:rPr>
      </w:pPr>
      <w:bookmarkStart w:id="91" w:name="pr81"/>
      <w:bookmarkEnd w:id="91"/>
      <w:r w:rsidRPr="00B51B7F">
        <w:rPr>
          <w:rFonts w:ascii="Times New Roman" w:eastAsia="Times New Roman" w:hAnsi="Times New Roman"/>
          <w:b/>
          <w:bCs/>
          <w:i/>
          <w:iCs/>
          <w:lang w:eastAsia="hu-HU"/>
        </w:rPr>
        <w:t>Záró és hatályba léptető rendelkezés</w:t>
      </w:r>
    </w:p>
    <w:p w:rsidR="00B51B7F" w:rsidRPr="00B51B7F" w:rsidRDefault="00B51B7F" w:rsidP="00B51B7F">
      <w:pPr>
        <w:ind w:left="150" w:right="150" w:firstLine="24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bookmarkStart w:id="92" w:name="12"/>
      <w:bookmarkStart w:id="93" w:name="pr82"/>
      <w:bookmarkEnd w:id="92"/>
      <w:bookmarkEnd w:id="93"/>
      <w:r w:rsidRPr="00B51B7F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12. § </w:t>
      </w:r>
      <w:r w:rsidRPr="00B51B7F">
        <w:rPr>
          <w:rFonts w:ascii="Times New Roman" w:eastAsia="Times New Roman" w:hAnsi="Times New Roman"/>
          <w:sz w:val="20"/>
          <w:szCs w:val="20"/>
          <w:lang w:eastAsia="hu-HU"/>
        </w:rPr>
        <w:t>Ez a rendelet a kihirdetését követő 8. napon lép hatályba, egyidejűleg hatályát veszti a csatlakozó- és fogyasztói gázvezetékek kiviteli terveinek felülvizsgálatáért, valamint a gázszerelés ellenőrzéséért és minősítéséért a gázszolgáltató által felszámítható díjakról szóló 24/1996. (IV. 12.) IKM rendelet.</w:t>
      </w:r>
    </w:p>
    <w:p w:rsidR="00270E3F" w:rsidRDefault="00270E3F"/>
    <w:p w:rsidR="00B51B7F" w:rsidRDefault="00B51B7F"/>
    <w:p w:rsidR="00B51B7F" w:rsidRDefault="00B51B7F">
      <w:proofErr w:type="gramStart"/>
      <w:r>
        <w:t>( forrás</w:t>
      </w:r>
      <w:proofErr w:type="gramEnd"/>
      <w:r>
        <w:t xml:space="preserve">: </w:t>
      </w:r>
      <w:hyperlink r:id="rId23" w:history="1">
        <w:r w:rsidRPr="00B51B7F">
          <w:rPr>
            <w:rStyle w:val="Hiperhivatkozs"/>
          </w:rPr>
          <w:t>net.jogtar.hu</w:t>
        </w:r>
      </w:hyperlink>
      <w:r>
        <w:t xml:space="preserve"> )</w:t>
      </w:r>
    </w:p>
    <w:sectPr w:rsidR="00B51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7F"/>
    <w:rsid w:val="00270E3F"/>
    <w:rsid w:val="009D1D86"/>
    <w:rsid w:val="00B5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1D86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D1D86"/>
    <w:pPr>
      <w:keepNext/>
      <w:spacing w:before="240" w:after="60"/>
      <w:outlineLvl w:val="0"/>
    </w:pPr>
    <w:rPr>
      <w:rFonts w:ascii="Cambria" w:eastAsia="Times New Roman" w:hAnsi="Cambria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1D8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D8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D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D86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D86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D86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D8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9D1D86"/>
    <w:rPr>
      <w:rFonts w:ascii="Cambria" w:eastAsia="Times New Roman" w:hAnsi="Cambria" w:cstheme="majorBidi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9D1D8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"/>
    <w:semiHidden/>
    <w:rsid w:val="009D1D86"/>
    <w:rPr>
      <w:rFonts w:ascii="Cambria" w:eastAsia="Times New Roman" w:hAnsi="Cambria"/>
      <w:b/>
      <w:bCs/>
      <w:sz w:val="26"/>
      <w:szCs w:val="26"/>
    </w:rPr>
  </w:style>
  <w:style w:type="character" w:customStyle="1" w:styleId="Cmsor4Char">
    <w:name w:val="Címsor 4 Char"/>
    <w:link w:val="Cmsor4"/>
    <w:uiPriority w:val="9"/>
    <w:semiHidden/>
    <w:rsid w:val="009D1D86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9D1D86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9D1D86"/>
    <w:rPr>
      <w:b/>
      <w:bCs/>
    </w:rPr>
  </w:style>
  <w:style w:type="character" w:customStyle="1" w:styleId="Cmsor7Char">
    <w:name w:val="Címsor 7 Char"/>
    <w:link w:val="Cmsor7"/>
    <w:uiPriority w:val="9"/>
    <w:semiHidden/>
    <w:rsid w:val="009D1D86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9D1D86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9D1D86"/>
    <w:rPr>
      <w:rFonts w:ascii="Cambria" w:eastAsia="Times New Roman" w:hAnsi="Cambria"/>
    </w:rPr>
  </w:style>
  <w:style w:type="paragraph" w:styleId="Cm">
    <w:name w:val="Title"/>
    <w:basedOn w:val="Norml"/>
    <w:next w:val="Norml"/>
    <w:link w:val="CmChar"/>
    <w:uiPriority w:val="10"/>
    <w:qFormat/>
    <w:rsid w:val="009D1D86"/>
    <w:pPr>
      <w:spacing w:before="240" w:after="60"/>
      <w:jc w:val="center"/>
      <w:outlineLvl w:val="0"/>
    </w:pPr>
    <w:rPr>
      <w:rFonts w:ascii="Cambria" w:eastAsia="Times New Roman" w:hAnsi="Cambria" w:cstheme="majorBidi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10"/>
    <w:rsid w:val="009D1D86"/>
    <w:rPr>
      <w:rFonts w:ascii="Cambria" w:eastAsia="Times New Roman" w:hAnsi="Cambria" w:cstheme="majorBidi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9D1D86"/>
    <w:pPr>
      <w:spacing w:after="60"/>
      <w:jc w:val="center"/>
      <w:outlineLvl w:val="1"/>
    </w:pPr>
    <w:rPr>
      <w:rFonts w:ascii="Cambria" w:eastAsia="Times New Roman" w:hAnsi="Cambria" w:cstheme="majorBidi"/>
    </w:rPr>
  </w:style>
  <w:style w:type="character" w:customStyle="1" w:styleId="AlcmChar">
    <w:name w:val="Alcím Char"/>
    <w:link w:val="Alcm"/>
    <w:uiPriority w:val="11"/>
    <w:rsid w:val="009D1D86"/>
    <w:rPr>
      <w:rFonts w:ascii="Cambria" w:eastAsia="Times New Roman" w:hAnsi="Cambria" w:cstheme="majorBidi"/>
      <w:sz w:val="24"/>
      <w:szCs w:val="24"/>
    </w:rPr>
  </w:style>
  <w:style w:type="character" w:styleId="Kiemels2">
    <w:name w:val="Strong"/>
    <w:uiPriority w:val="22"/>
    <w:qFormat/>
    <w:rsid w:val="009D1D86"/>
    <w:rPr>
      <w:b/>
      <w:bCs/>
    </w:rPr>
  </w:style>
  <w:style w:type="character" w:styleId="Kiemels">
    <w:name w:val="Emphasis"/>
    <w:uiPriority w:val="20"/>
    <w:qFormat/>
    <w:rsid w:val="009D1D86"/>
    <w:rPr>
      <w:rFonts w:ascii="Calibri" w:hAnsi="Calibri"/>
      <w:b/>
      <w:i/>
      <w:iCs/>
    </w:rPr>
  </w:style>
  <w:style w:type="paragraph" w:styleId="Nincstrkz">
    <w:name w:val="No Spacing"/>
    <w:basedOn w:val="Norml"/>
    <w:uiPriority w:val="1"/>
    <w:qFormat/>
    <w:rsid w:val="009D1D86"/>
    <w:rPr>
      <w:szCs w:val="32"/>
    </w:rPr>
  </w:style>
  <w:style w:type="paragraph" w:styleId="Listaszerbekezds">
    <w:name w:val="List Paragraph"/>
    <w:basedOn w:val="Norml"/>
    <w:uiPriority w:val="34"/>
    <w:qFormat/>
    <w:rsid w:val="009D1D86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D1D86"/>
    <w:rPr>
      <w:i/>
    </w:rPr>
  </w:style>
  <w:style w:type="character" w:customStyle="1" w:styleId="IdzetChar">
    <w:name w:val="Idézet Char"/>
    <w:link w:val="Idzet"/>
    <w:uiPriority w:val="29"/>
    <w:rsid w:val="009D1D86"/>
    <w:rPr>
      <w:i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D86"/>
    <w:pPr>
      <w:ind w:left="720" w:right="720"/>
    </w:pPr>
    <w:rPr>
      <w:b/>
      <w:i/>
      <w:szCs w:val="22"/>
    </w:rPr>
  </w:style>
  <w:style w:type="character" w:customStyle="1" w:styleId="KiemeltidzetChar">
    <w:name w:val="Kiemelt idézet Char"/>
    <w:link w:val="Kiemeltidzet"/>
    <w:uiPriority w:val="30"/>
    <w:rsid w:val="009D1D86"/>
    <w:rPr>
      <w:b/>
      <w:i/>
      <w:sz w:val="24"/>
    </w:rPr>
  </w:style>
  <w:style w:type="character" w:styleId="Finomkiemels">
    <w:name w:val="Subtle Emphasis"/>
    <w:uiPriority w:val="19"/>
    <w:qFormat/>
    <w:rsid w:val="009D1D86"/>
    <w:rPr>
      <w:i/>
      <w:color w:val="5A5A5A"/>
    </w:rPr>
  </w:style>
  <w:style w:type="character" w:styleId="Ershangslyozs">
    <w:name w:val="Intense Emphasis"/>
    <w:uiPriority w:val="21"/>
    <w:qFormat/>
    <w:rsid w:val="009D1D86"/>
    <w:rPr>
      <w:b/>
      <w:i/>
      <w:sz w:val="24"/>
      <w:szCs w:val="24"/>
      <w:u w:val="single"/>
    </w:rPr>
  </w:style>
  <w:style w:type="character" w:styleId="Finomhivatkozs">
    <w:name w:val="Subtle Reference"/>
    <w:uiPriority w:val="31"/>
    <w:qFormat/>
    <w:rsid w:val="009D1D86"/>
    <w:rPr>
      <w:sz w:val="24"/>
      <w:szCs w:val="24"/>
      <w:u w:val="single"/>
    </w:rPr>
  </w:style>
  <w:style w:type="character" w:styleId="Ershivatkozs">
    <w:name w:val="Intense Reference"/>
    <w:uiPriority w:val="32"/>
    <w:qFormat/>
    <w:rsid w:val="009D1D86"/>
    <w:rPr>
      <w:b/>
      <w:sz w:val="24"/>
      <w:u w:val="single"/>
    </w:rPr>
  </w:style>
  <w:style w:type="character" w:styleId="Knyvcme">
    <w:name w:val="Book Title"/>
    <w:uiPriority w:val="33"/>
    <w:qFormat/>
    <w:rsid w:val="009D1D86"/>
    <w:rPr>
      <w:rFonts w:ascii="Cambria" w:eastAsia="Times New Roman" w:hAnsi="Cambria"/>
      <w:b/>
      <w:i/>
      <w:sz w:val="24"/>
      <w:szCs w:val="24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D1D86"/>
    <w:pPr>
      <w:outlineLvl w:val="9"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51B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1B7F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B51B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1D86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D1D86"/>
    <w:pPr>
      <w:keepNext/>
      <w:spacing w:before="240" w:after="60"/>
      <w:outlineLvl w:val="0"/>
    </w:pPr>
    <w:rPr>
      <w:rFonts w:ascii="Cambria" w:eastAsia="Times New Roman" w:hAnsi="Cambria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1D8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D8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D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D86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D86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D86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D8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9D1D86"/>
    <w:rPr>
      <w:rFonts w:ascii="Cambria" w:eastAsia="Times New Roman" w:hAnsi="Cambria" w:cstheme="majorBidi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9D1D8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"/>
    <w:semiHidden/>
    <w:rsid w:val="009D1D86"/>
    <w:rPr>
      <w:rFonts w:ascii="Cambria" w:eastAsia="Times New Roman" w:hAnsi="Cambria"/>
      <w:b/>
      <w:bCs/>
      <w:sz w:val="26"/>
      <w:szCs w:val="26"/>
    </w:rPr>
  </w:style>
  <w:style w:type="character" w:customStyle="1" w:styleId="Cmsor4Char">
    <w:name w:val="Címsor 4 Char"/>
    <w:link w:val="Cmsor4"/>
    <w:uiPriority w:val="9"/>
    <w:semiHidden/>
    <w:rsid w:val="009D1D86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9D1D86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9D1D86"/>
    <w:rPr>
      <w:b/>
      <w:bCs/>
    </w:rPr>
  </w:style>
  <w:style w:type="character" w:customStyle="1" w:styleId="Cmsor7Char">
    <w:name w:val="Címsor 7 Char"/>
    <w:link w:val="Cmsor7"/>
    <w:uiPriority w:val="9"/>
    <w:semiHidden/>
    <w:rsid w:val="009D1D86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9D1D86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9D1D86"/>
    <w:rPr>
      <w:rFonts w:ascii="Cambria" w:eastAsia="Times New Roman" w:hAnsi="Cambria"/>
    </w:rPr>
  </w:style>
  <w:style w:type="paragraph" w:styleId="Cm">
    <w:name w:val="Title"/>
    <w:basedOn w:val="Norml"/>
    <w:next w:val="Norml"/>
    <w:link w:val="CmChar"/>
    <w:uiPriority w:val="10"/>
    <w:qFormat/>
    <w:rsid w:val="009D1D86"/>
    <w:pPr>
      <w:spacing w:before="240" w:after="60"/>
      <w:jc w:val="center"/>
      <w:outlineLvl w:val="0"/>
    </w:pPr>
    <w:rPr>
      <w:rFonts w:ascii="Cambria" w:eastAsia="Times New Roman" w:hAnsi="Cambria" w:cstheme="majorBidi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10"/>
    <w:rsid w:val="009D1D86"/>
    <w:rPr>
      <w:rFonts w:ascii="Cambria" w:eastAsia="Times New Roman" w:hAnsi="Cambria" w:cstheme="majorBidi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9D1D86"/>
    <w:pPr>
      <w:spacing w:after="60"/>
      <w:jc w:val="center"/>
      <w:outlineLvl w:val="1"/>
    </w:pPr>
    <w:rPr>
      <w:rFonts w:ascii="Cambria" w:eastAsia="Times New Roman" w:hAnsi="Cambria" w:cstheme="majorBidi"/>
    </w:rPr>
  </w:style>
  <w:style w:type="character" w:customStyle="1" w:styleId="AlcmChar">
    <w:name w:val="Alcím Char"/>
    <w:link w:val="Alcm"/>
    <w:uiPriority w:val="11"/>
    <w:rsid w:val="009D1D86"/>
    <w:rPr>
      <w:rFonts w:ascii="Cambria" w:eastAsia="Times New Roman" w:hAnsi="Cambria" w:cstheme="majorBidi"/>
      <w:sz w:val="24"/>
      <w:szCs w:val="24"/>
    </w:rPr>
  </w:style>
  <w:style w:type="character" w:styleId="Kiemels2">
    <w:name w:val="Strong"/>
    <w:uiPriority w:val="22"/>
    <w:qFormat/>
    <w:rsid w:val="009D1D86"/>
    <w:rPr>
      <w:b/>
      <w:bCs/>
    </w:rPr>
  </w:style>
  <w:style w:type="character" w:styleId="Kiemels">
    <w:name w:val="Emphasis"/>
    <w:uiPriority w:val="20"/>
    <w:qFormat/>
    <w:rsid w:val="009D1D86"/>
    <w:rPr>
      <w:rFonts w:ascii="Calibri" w:hAnsi="Calibri"/>
      <w:b/>
      <w:i/>
      <w:iCs/>
    </w:rPr>
  </w:style>
  <w:style w:type="paragraph" w:styleId="Nincstrkz">
    <w:name w:val="No Spacing"/>
    <w:basedOn w:val="Norml"/>
    <w:uiPriority w:val="1"/>
    <w:qFormat/>
    <w:rsid w:val="009D1D86"/>
    <w:rPr>
      <w:szCs w:val="32"/>
    </w:rPr>
  </w:style>
  <w:style w:type="paragraph" w:styleId="Listaszerbekezds">
    <w:name w:val="List Paragraph"/>
    <w:basedOn w:val="Norml"/>
    <w:uiPriority w:val="34"/>
    <w:qFormat/>
    <w:rsid w:val="009D1D86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D1D86"/>
    <w:rPr>
      <w:i/>
    </w:rPr>
  </w:style>
  <w:style w:type="character" w:customStyle="1" w:styleId="IdzetChar">
    <w:name w:val="Idézet Char"/>
    <w:link w:val="Idzet"/>
    <w:uiPriority w:val="29"/>
    <w:rsid w:val="009D1D86"/>
    <w:rPr>
      <w:i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D86"/>
    <w:pPr>
      <w:ind w:left="720" w:right="720"/>
    </w:pPr>
    <w:rPr>
      <w:b/>
      <w:i/>
      <w:szCs w:val="22"/>
    </w:rPr>
  </w:style>
  <w:style w:type="character" w:customStyle="1" w:styleId="KiemeltidzetChar">
    <w:name w:val="Kiemelt idézet Char"/>
    <w:link w:val="Kiemeltidzet"/>
    <w:uiPriority w:val="30"/>
    <w:rsid w:val="009D1D86"/>
    <w:rPr>
      <w:b/>
      <w:i/>
      <w:sz w:val="24"/>
    </w:rPr>
  </w:style>
  <w:style w:type="character" w:styleId="Finomkiemels">
    <w:name w:val="Subtle Emphasis"/>
    <w:uiPriority w:val="19"/>
    <w:qFormat/>
    <w:rsid w:val="009D1D86"/>
    <w:rPr>
      <w:i/>
      <w:color w:val="5A5A5A"/>
    </w:rPr>
  </w:style>
  <w:style w:type="character" w:styleId="Ershangslyozs">
    <w:name w:val="Intense Emphasis"/>
    <w:uiPriority w:val="21"/>
    <w:qFormat/>
    <w:rsid w:val="009D1D86"/>
    <w:rPr>
      <w:b/>
      <w:i/>
      <w:sz w:val="24"/>
      <w:szCs w:val="24"/>
      <w:u w:val="single"/>
    </w:rPr>
  </w:style>
  <w:style w:type="character" w:styleId="Finomhivatkozs">
    <w:name w:val="Subtle Reference"/>
    <w:uiPriority w:val="31"/>
    <w:qFormat/>
    <w:rsid w:val="009D1D86"/>
    <w:rPr>
      <w:sz w:val="24"/>
      <w:szCs w:val="24"/>
      <w:u w:val="single"/>
    </w:rPr>
  </w:style>
  <w:style w:type="character" w:styleId="Ershivatkozs">
    <w:name w:val="Intense Reference"/>
    <w:uiPriority w:val="32"/>
    <w:qFormat/>
    <w:rsid w:val="009D1D86"/>
    <w:rPr>
      <w:b/>
      <w:sz w:val="24"/>
      <w:u w:val="single"/>
    </w:rPr>
  </w:style>
  <w:style w:type="character" w:styleId="Knyvcme">
    <w:name w:val="Book Title"/>
    <w:uiPriority w:val="33"/>
    <w:qFormat/>
    <w:rsid w:val="009D1D86"/>
    <w:rPr>
      <w:rFonts w:ascii="Cambria" w:eastAsia="Times New Roman" w:hAnsi="Cambria"/>
      <w:b/>
      <w:i/>
      <w:sz w:val="24"/>
      <w:szCs w:val="24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D1D86"/>
    <w:pPr>
      <w:outlineLvl w:val="9"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51B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1B7F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B51B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.jogtar.hu/jr/gen/hjegy_doc.cgi?docid=A0400011.GKM" TargetMode="External"/><Relationship Id="rId13" Type="http://schemas.openxmlformats.org/officeDocument/2006/relationships/hyperlink" Target="http://net.jogtar.hu/jr/gen/hjegy_doc.cgi?docid=A0400011.GKM" TargetMode="External"/><Relationship Id="rId18" Type="http://schemas.openxmlformats.org/officeDocument/2006/relationships/hyperlink" Target="http://net.jogtar.hu/jr/gen/hjegy_doc.cgi?docid=A0400011.GK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et.jogtar.hu/jr/gen/hjegy_doc.cgi?docid=A0400011.GKM" TargetMode="External"/><Relationship Id="rId7" Type="http://schemas.openxmlformats.org/officeDocument/2006/relationships/hyperlink" Target="http://net.jogtar.hu/jr/gen/hjegy_doc.cgi?docid=A0400011.GKM" TargetMode="External"/><Relationship Id="rId12" Type="http://schemas.openxmlformats.org/officeDocument/2006/relationships/hyperlink" Target="http://net.jogtar.hu/jr/gen/hjegy_doc.cgi?docid=A0400011.GKM" TargetMode="External"/><Relationship Id="rId17" Type="http://schemas.openxmlformats.org/officeDocument/2006/relationships/hyperlink" Target="http://net.jogtar.hu/jr/gen/hjegy_doc.cgi?docid=A0400011.GKM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net.jogtar.hu/jr/gen/hjegy_doc.cgi?docid=A0400011.GKM" TargetMode="External"/><Relationship Id="rId20" Type="http://schemas.openxmlformats.org/officeDocument/2006/relationships/hyperlink" Target="http://net.jogtar.hu/jr/gen/hjegy_doc.cgi?docid=A0400011.GKM" TargetMode="External"/><Relationship Id="rId1" Type="http://schemas.openxmlformats.org/officeDocument/2006/relationships/styles" Target="styles.xml"/><Relationship Id="rId6" Type="http://schemas.openxmlformats.org/officeDocument/2006/relationships/hyperlink" Target="http://net.jogtar.hu/jr/gen/hjegy_doc.cgi?docid=A0400011.GKM" TargetMode="External"/><Relationship Id="rId11" Type="http://schemas.openxmlformats.org/officeDocument/2006/relationships/hyperlink" Target="http://net.jogtar.hu/jr/gen/hjegy_doc.cgi?docid=A0400011.GK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et.jogtar.hu/jr/gen/hjegy_doc.cgi?docid=A0400011.GKM" TargetMode="External"/><Relationship Id="rId15" Type="http://schemas.openxmlformats.org/officeDocument/2006/relationships/hyperlink" Target="http://net.jogtar.hu/jr/gen/hjegy_doc.cgi?docid=A0400011.GKM" TargetMode="External"/><Relationship Id="rId23" Type="http://schemas.openxmlformats.org/officeDocument/2006/relationships/hyperlink" Target="net.jogtar.hu" TargetMode="External"/><Relationship Id="rId10" Type="http://schemas.openxmlformats.org/officeDocument/2006/relationships/hyperlink" Target="http://net.jogtar.hu/jr/gen/hjegy_doc.cgi?docid=A0400011.GKM" TargetMode="External"/><Relationship Id="rId19" Type="http://schemas.openxmlformats.org/officeDocument/2006/relationships/hyperlink" Target="http://net.jogtar.hu/jr/gen/hjegy_doc.cgi?docid=A0400011.GK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t.jogtar.hu/jr/gen/hjegy_doc.cgi?docid=A0400011.GKM" TargetMode="External"/><Relationship Id="rId14" Type="http://schemas.openxmlformats.org/officeDocument/2006/relationships/hyperlink" Target="http://net.jogtar.hu/jr/gen/hjegy_doc.cgi?docid=A0400011.GKM" TargetMode="External"/><Relationship Id="rId22" Type="http://schemas.openxmlformats.org/officeDocument/2006/relationships/hyperlink" Target="http://net.jogtar.hu/jr/gen/hjegy_doc.cgi?docid=A0400011.GK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1690</Words>
  <Characters>11665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karolyzo</dc:creator>
  <cp:lastModifiedBy>karolyzo</cp:lastModifiedBy>
  <cp:revision>1</cp:revision>
  <dcterms:created xsi:type="dcterms:W3CDTF">2013-02-19T18:01:00Z</dcterms:created>
  <dcterms:modified xsi:type="dcterms:W3CDTF">2013-02-19T18:03:00Z</dcterms:modified>
</cp:coreProperties>
</file>